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AF" w:rsidRPr="00E87E10" w:rsidRDefault="00885AAF" w:rsidP="00885AAF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УВЕДОМЛЕНИЕ </w:t>
      </w:r>
      <w:r w:rsidRPr="00E87E10">
        <w:rPr>
          <w:b/>
          <w:szCs w:val="28"/>
        </w:rPr>
        <w:br/>
        <w:t xml:space="preserve">о подготовке проекта нормативного правового акта </w:t>
      </w:r>
      <w:r w:rsidRPr="00E87E10">
        <w:rPr>
          <w:b/>
          <w:szCs w:val="28"/>
        </w:rPr>
        <w:br/>
      </w:r>
    </w:p>
    <w:p w:rsidR="00885AAF" w:rsidRDefault="004A4FD1" w:rsidP="004A4FD1">
      <w:pPr>
        <w:jc w:val="both"/>
        <w:rPr>
          <w:szCs w:val="28"/>
        </w:rPr>
      </w:pPr>
      <w:r w:rsidRPr="00756BA1">
        <w:rPr>
          <w:szCs w:val="28"/>
        </w:rPr>
        <w:t xml:space="preserve">Уведомление о подготовке проекта акта подготовлено </w:t>
      </w:r>
      <w:r>
        <w:rPr>
          <w:szCs w:val="28"/>
        </w:rPr>
        <w:t xml:space="preserve">в рамках </w:t>
      </w:r>
      <w:r w:rsidRPr="00756BA1">
        <w:rPr>
          <w:b/>
          <w:szCs w:val="28"/>
        </w:rPr>
        <w:t>предварительной ОРВ</w:t>
      </w:r>
      <w:r>
        <w:rPr>
          <w:szCs w:val="28"/>
        </w:rPr>
        <w:t xml:space="preserve"> в целях обсуждения концепции нового регулирования, сбора предложений об альтернативных </w:t>
      </w:r>
      <w:r w:rsidRPr="00984082">
        <w:rPr>
          <w:szCs w:val="28"/>
        </w:rPr>
        <w:t>мерах для достижения целей нов</w:t>
      </w:r>
      <w:r>
        <w:rPr>
          <w:szCs w:val="28"/>
        </w:rPr>
        <w:t>ого</w:t>
      </w:r>
      <w:r w:rsidRPr="00984082">
        <w:rPr>
          <w:szCs w:val="28"/>
        </w:rPr>
        <w:t xml:space="preserve"> регулировани</w:t>
      </w:r>
      <w:r>
        <w:rPr>
          <w:szCs w:val="28"/>
        </w:rPr>
        <w:t>я</w:t>
      </w:r>
      <w:r w:rsidRPr="00984082">
        <w:rPr>
          <w:szCs w:val="28"/>
        </w:rPr>
        <w:t>, а также предложений в планируемый к разработке проект акта</w:t>
      </w:r>
      <w:r>
        <w:rPr>
          <w:szCs w:val="28"/>
        </w:rPr>
        <w:t>.</w:t>
      </w:r>
    </w:p>
    <w:p w:rsidR="004A4FD1" w:rsidRPr="00E87E10" w:rsidRDefault="004A4FD1" w:rsidP="00885AAF">
      <w:pPr>
        <w:jc w:val="center"/>
        <w:rPr>
          <w:szCs w:val="28"/>
        </w:rPr>
      </w:pPr>
    </w:p>
    <w:tbl>
      <w:tblPr>
        <w:tblStyle w:val="ae"/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885AAF" w:rsidRPr="00E87E10" w:rsidTr="00030900">
        <w:tc>
          <w:tcPr>
            <w:tcW w:w="2552" w:type="dxa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Вид нормативного правового акта:</w:t>
            </w:r>
          </w:p>
        </w:tc>
        <w:tc>
          <w:tcPr>
            <w:tcW w:w="7371" w:type="dxa"/>
          </w:tcPr>
          <w:p w:rsidR="00885AAF" w:rsidRPr="00E87E10" w:rsidRDefault="00192653" w:rsidP="00170902">
            <w:pPr>
              <w:pStyle w:val="af2"/>
              <w:ind w:left="0" w:firstLine="317"/>
            </w:pPr>
            <w:r>
              <w:t xml:space="preserve">Проект закона Свердловской области </w:t>
            </w:r>
          </w:p>
        </w:tc>
      </w:tr>
      <w:tr w:rsidR="00885AAF" w:rsidRPr="00E87E10" w:rsidTr="00030900">
        <w:tc>
          <w:tcPr>
            <w:tcW w:w="2552" w:type="dxa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Наименование нормативного правового акта:</w:t>
            </w:r>
          </w:p>
        </w:tc>
        <w:tc>
          <w:tcPr>
            <w:tcW w:w="7371" w:type="dxa"/>
          </w:tcPr>
          <w:p w:rsidR="00885AAF" w:rsidRPr="00E87E10" w:rsidRDefault="00192653" w:rsidP="00170902">
            <w:pPr>
              <w:ind w:firstLine="317"/>
              <w:jc w:val="both"/>
              <w:rPr>
                <w:szCs w:val="28"/>
              </w:rPr>
            </w:pPr>
            <w:r>
              <w:t>«О внесении изменений в Закон Свердловской области  «О содействии занятости населения в Свердловской области» (далее – законопроект).</w:t>
            </w:r>
          </w:p>
        </w:tc>
      </w:tr>
      <w:tr w:rsidR="00885AAF" w:rsidRPr="00E87E10" w:rsidTr="00030900">
        <w:tc>
          <w:tcPr>
            <w:tcW w:w="2552" w:type="dxa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Планируемый срок вступления нормативного правового акта в силу:</w:t>
            </w:r>
          </w:p>
        </w:tc>
        <w:tc>
          <w:tcPr>
            <w:tcW w:w="7371" w:type="dxa"/>
          </w:tcPr>
          <w:p w:rsidR="00192653" w:rsidRPr="006E597B" w:rsidRDefault="00192653" w:rsidP="00170902">
            <w:pPr>
              <w:pStyle w:val="af2"/>
              <w:ind w:left="0" w:firstLine="317"/>
            </w:pPr>
            <w:r>
              <w:t>З</w:t>
            </w:r>
            <w:r w:rsidRPr="006E597B">
              <w:t>акон вступает в силу через десять дней после его официального опубликования</w:t>
            </w:r>
            <w:r>
              <w:t>.</w:t>
            </w:r>
          </w:p>
          <w:p w:rsidR="00885AAF" w:rsidRPr="00E87E10" w:rsidRDefault="00885AAF" w:rsidP="00170902">
            <w:pPr>
              <w:ind w:firstLine="317"/>
              <w:jc w:val="both"/>
              <w:rPr>
                <w:szCs w:val="28"/>
              </w:rPr>
            </w:pPr>
          </w:p>
        </w:tc>
      </w:tr>
      <w:tr w:rsidR="00885AAF" w:rsidRPr="00E87E10" w:rsidTr="00030900">
        <w:tc>
          <w:tcPr>
            <w:tcW w:w="2552" w:type="dxa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Сведения о разработчике нормативного правового акта:</w:t>
            </w:r>
          </w:p>
        </w:tc>
        <w:tc>
          <w:tcPr>
            <w:tcW w:w="7371" w:type="dxa"/>
          </w:tcPr>
          <w:p w:rsidR="00192653" w:rsidRDefault="00192653" w:rsidP="00170902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по труду и занятости населения Свердловской области</w:t>
            </w:r>
          </w:p>
          <w:p w:rsidR="00C469E9" w:rsidRDefault="00192653" w:rsidP="00170902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специальных программ и трудоустройства граждан, испытывающих трудности в поиске работы, Москалева Екатерина Владимировна</w:t>
            </w:r>
            <w:r w:rsidR="00885AAF" w:rsidRPr="00E87E10">
              <w:rPr>
                <w:szCs w:val="28"/>
              </w:rPr>
              <w:t xml:space="preserve">, </w:t>
            </w:r>
          </w:p>
          <w:p w:rsidR="00C469E9" w:rsidRPr="00C469E9" w:rsidRDefault="00C469E9" w:rsidP="00170902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C469E9">
              <w:rPr>
                <w:szCs w:val="28"/>
              </w:rPr>
              <w:t>ел: (343) 312-00-18 (доб. 082)</w:t>
            </w:r>
          </w:p>
          <w:p w:rsidR="00885AAF" w:rsidRPr="00E87E10" w:rsidRDefault="00C469E9" w:rsidP="00170902">
            <w:pPr>
              <w:ind w:firstLine="317"/>
              <w:jc w:val="both"/>
              <w:rPr>
                <w:szCs w:val="28"/>
              </w:rPr>
            </w:pPr>
            <w:r w:rsidRPr="00C469E9">
              <w:rPr>
                <w:szCs w:val="28"/>
              </w:rPr>
              <w:t>Адрес электронной почты: e.moskaleva@egov66.ru</w:t>
            </w:r>
          </w:p>
        </w:tc>
      </w:tr>
      <w:tr w:rsidR="00885AAF" w:rsidRPr="00E87E10" w:rsidTr="00030900">
        <w:tc>
          <w:tcPr>
            <w:tcW w:w="2552" w:type="dxa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Обоснование необходимости разработки нормативного правового акта:</w:t>
            </w:r>
          </w:p>
        </w:tc>
        <w:tc>
          <w:tcPr>
            <w:tcW w:w="7371" w:type="dxa"/>
          </w:tcPr>
          <w:p w:rsidR="00E64409" w:rsidRDefault="00222245" w:rsidP="00170902">
            <w:pPr>
              <w:pStyle w:val="af5"/>
              <w:tabs>
                <w:tab w:val="left" w:pos="142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F25">
              <w:rPr>
                <w:rFonts w:ascii="Times New Roman" w:hAnsi="Times New Roman"/>
                <w:sz w:val="28"/>
                <w:szCs w:val="28"/>
              </w:rPr>
              <w:t xml:space="preserve">Согласно статье 21 </w:t>
            </w:r>
            <w:r w:rsidRPr="00CD3F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Федерального закона от 24 ноября 1995 года № 181-ФЗ «О социальной защите инвалидов в Российской Федерации» работодателям, численность работников которых превышает 100 человек, в соответствии с законодательством субъекта Российской Федерации может устанавливаться квота для приема на работу инвалидов в размере от 2 до 4 процентов от среднесписочной численности работников.</w:t>
            </w:r>
            <w:proofErr w:type="gramEnd"/>
            <w:r w:rsidRPr="00CD3F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CD3F25" w:rsidRPr="00CD3F25">
              <w:rPr>
                <w:rFonts w:ascii="Times New Roman" w:hAnsi="Times New Roman"/>
                <w:sz w:val="28"/>
                <w:szCs w:val="28"/>
              </w:rPr>
              <w:t>В связи с вступлением в силу Федерального закона от 28 декабря  2013 года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суммарная численность установленной квоты в Свердловской области снизилась на 3</w:t>
            </w:r>
            <w:r w:rsidR="00E64409">
              <w:rPr>
                <w:rFonts w:ascii="Times New Roman" w:hAnsi="Times New Roman"/>
                <w:sz w:val="28"/>
                <w:szCs w:val="28"/>
              </w:rPr>
              <w:t>9</w:t>
            </w:r>
            <w:r w:rsidR="00CD3F25" w:rsidRPr="00CD3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07B">
              <w:rPr>
                <w:rFonts w:ascii="Times New Roman" w:hAnsi="Times New Roman"/>
                <w:sz w:val="28"/>
                <w:szCs w:val="28"/>
              </w:rPr>
              <w:t>процентов</w:t>
            </w:r>
            <w:r w:rsidR="00CD3F25" w:rsidRPr="00CD3F25">
              <w:rPr>
                <w:rFonts w:ascii="Times New Roman" w:hAnsi="Times New Roman"/>
                <w:sz w:val="28"/>
                <w:szCs w:val="28"/>
              </w:rPr>
              <w:t xml:space="preserve"> к уровню 2013 года. </w:t>
            </w:r>
          </w:p>
          <w:p w:rsidR="00D61F97" w:rsidRPr="0080209F" w:rsidRDefault="00D61F97" w:rsidP="00170902">
            <w:pPr>
              <w:pStyle w:val="af5"/>
              <w:tabs>
                <w:tab w:val="left" w:pos="142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0209F">
              <w:rPr>
                <w:rFonts w:ascii="Times New Roman" w:hAnsi="Times New Roman"/>
                <w:sz w:val="28"/>
                <w:szCs w:val="28"/>
              </w:rPr>
              <w:t>В 2014 году произошло существенное снижение размера установленной квоты для организаций, осуществляющих деятельность  в сфере:</w:t>
            </w:r>
          </w:p>
          <w:p w:rsidR="00D61F97" w:rsidRPr="0080209F" w:rsidRDefault="00D61F97" w:rsidP="00170902">
            <w:pPr>
              <w:pStyle w:val="af5"/>
              <w:tabs>
                <w:tab w:val="left" w:pos="142"/>
              </w:tabs>
              <w:ind w:firstLine="31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209F">
              <w:rPr>
                <w:rFonts w:ascii="Times New Roman" w:hAnsi="Times New Roman"/>
                <w:sz w:val="28"/>
                <w:szCs w:val="28"/>
              </w:rPr>
              <w:t>-  д</w:t>
            </w:r>
            <w:r w:rsidRPr="008020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обычи полезных ископаемых – в 4,6 раза;</w:t>
            </w:r>
          </w:p>
          <w:p w:rsidR="00D61F97" w:rsidRPr="0080209F" w:rsidRDefault="00D61F97" w:rsidP="00170902">
            <w:pPr>
              <w:pStyle w:val="af5"/>
              <w:tabs>
                <w:tab w:val="left" w:pos="142"/>
              </w:tabs>
              <w:ind w:firstLine="31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20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8020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строительстве</w:t>
            </w:r>
            <w:proofErr w:type="gramEnd"/>
            <w:r w:rsidRPr="008020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2,3 раза;</w:t>
            </w:r>
          </w:p>
          <w:p w:rsidR="00D61F97" w:rsidRDefault="00D61F97" w:rsidP="00170902">
            <w:pPr>
              <w:pStyle w:val="af5"/>
              <w:tabs>
                <w:tab w:val="left" w:pos="142"/>
              </w:tabs>
              <w:ind w:firstLine="31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20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 обрабатывающих производств – 2,1 раза.</w:t>
            </w:r>
          </w:p>
          <w:p w:rsidR="00D61F97" w:rsidRDefault="00D61F97" w:rsidP="00170902">
            <w:pPr>
              <w:pStyle w:val="12"/>
              <w:tabs>
                <w:tab w:val="left" w:pos="142"/>
              </w:tabs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C3E3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Причиной таких резки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х</w:t>
            </w:r>
            <w:r w:rsidRPr="001C3E3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изменений стало внесение изменений в порядок исчисление квоты (исключение из среднесписочной численности работающих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1C3E3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вредных и опасных производствах).</w:t>
            </w:r>
          </w:p>
          <w:p w:rsidR="00885AAF" w:rsidRPr="00E87E10" w:rsidRDefault="00D61F97" w:rsidP="00170902">
            <w:pPr>
              <w:pStyle w:val="af6"/>
              <w:spacing w:line="240" w:lineRule="auto"/>
              <w:ind w:firstLine="317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Учитывая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изложенное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D3F2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CD3F25" w:rsidRPr="00141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 Свердловской области становится актуальной проблема принятия дополнительных мер, обеспечивающих гарантии занятости инвалидов, в том числе путем привлечения к процессу квотирования </w:t>
            </w:r>
            <w:r w:rsidR="00CD3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работодателей</w:t>
            </w:r>
            <w:r w:rsidR="00CD3F25" w:rsidRPr="00141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численностью работников до 100 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85AAF" w:rsidRPr="00E87E10" w:rsidTr="00030900">
        <w:tc>
          <w:tcPr>
            <w:tcW w:w="2552" w:type="dxa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7371" w:type="dxa"/>
          </w:tcPr>
          <w:p w:rsidR="003D7AB1" w:rsidRDefault="003D7AB1" w:rsidP="003D7AB1">
            <w:pPr>
              <w:ind w:firstLine="317"/>
              <w:jc w:val="both"/>
              <w:rPr>
                <w:szCs w:val="28"/>
              </w:rPr>
            </w:pPr>
            <w:r w:rsidRPr="009308A2">
              <w:rPr>
                <w:rFonts w:eastAsia="Calibri"/>
                <w:szCs w:val="28"/>
                <w:lang w:eastAsia="en-US"/>
              </w:rPr>
              <w:t xml:space="preserve">За 2014 год государственными казенными учреждениями службы занятости населения Свердловской области (далее – центры занятости) зарегистрировано в качестве ищущих работу 6190 инвалидов, из них признано безработными 4700 человек (76 процентов от численности обратившихся). </w:t>
            </w:r>
            <w:r w:rsidRPr="00BD0441">
              <w:rPr>
                <w:rFonts w:eastAsia="Calibri"/>
                <w:szCs w:val="28"/>
                <w:lang w:eastAsia="en-US"/>
              </w:rPr>
              <w:t xml:space="preserve">В 2014 году </w:t>
            </w:r>
            <w:r>
              <w:rPr>
                <w:rFonts w:eastAsia="Calibri"/>
                <w:szCs w:val="28"/>
                <w:lang w:eastAsia="en-US"/>
              </w:rPr>
              <w:t xml:space="preserve">при содействии службы занятости </w:t>
            </w:r>
            <w:r w:rsidRPr="00BD0441">
              <w:rPr>
                <w:rFonts w:eastAsia="Calibri"/>
                <w:szCs w:val="28"/>
                <w:lang w:eastAsia="en-US"/>
              </w:rPr>
              <w:t xml:space="preserve">трудоустроено 2499 инвалидов, </w:t>
            </w:r>
            <w:r w:rsidRPr="00BD0441">
              <w:rPr>
                <w:szCs w:val="28"/>
              </w:rPr>
              <w:t>из них на квотируемые рабочие места – 154 инвалида</w:t>
            </w:r>
            <w:r>
              <w:rPr>
                <w:szCs w:val="28"/>
              </w:rPr>
              <w:t>. По состоянию на 01.01.2015 в органах службы занятости Свердловской области было зарегистрировано 2852 инвалида, ищущих работу.</w:t>
            </w:r>
          </w:p>
          <w:p w:rsidR="00C469E9" w:rsidRDefault="00C469E9" w:rsidP="00E64409">
            <w:pPr>
              <w:overflowPunct/>
              <w:ind w:firstLine="317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Согласно статье 7 </w:t>
            </w:r>
            <w:r w:rsidRPr="00AF4FA2">
              <w:rPr>
                <w:rFonts w:eastAsiaTheme="minorHAnsi"/>
                <w:szCs w:val="28"/>
                <w:lang w:eastAsia="en-US"/>
              </w:rPr>
              <w:t>Закон</w:t>
            </w:r>
            <w:r>
              <w:rPr>
                <w:rFonts w:eastAsiaTheme="minorHAnsi"/>
                <w:szCs w:val="28"/>
                <w:lang w:eastAsia="en-US"/>
              </w:rPr>
              <w:t>а</w:t>
            </w:r>
            <w:r w:rsidRPr="00AF4FA2">
              <w:rPr>
                <w:rFonts w:eastAsiaTheme="minorHAnsi"/>
                <w:szCs w:val="28"/>
                <w:lang w:eastAsia="en-US"/>
              </w:rPr>
              <w:t xml:space="preserve"> Свердловской области от 25</w:t>
            </w:r>
            <w:r>
              <w:rPr>
                <w:rFonts w:eastAsiaTheme="minorHAnsi"/>
                <w:szCs w:val="28"/>
                <w:lang w:eastAsia="en-US"/>
              </w:rPr>
              <w:t xml:space="preserve"> марта </w:t>
            </w:r>
            <w:r w:rsidRPr="00AF4FA2">
              <w:rPr>
                <w:rFonts w:eastAsiaTheme="minorHAnsi"/>
                <w:szCs w:val="28"/>
                <w:lang w:eastAsia="en-US"/>
              </w:rPr>
              <w:t xml:space="preserve">2013 </w:t>
            </w:r>
            <w:r>
              <w:rPr>
                <w:rFonts w:eastAsiaTheme="minorHAnsi"/>
                <w:szCs w:val="28"/>
                <w:lang w:eastAsia="en-US"/>
              </w:rPr>
              <w:t xml:space="preserve">года № </w:t>
            </w:r>
            <w:r w:rsidRPr="00AF4FA2">
              <w:rPr>
                <w:rFonts w:eastAsiaTheme="minorHAnsi"/>
                <w:szCs w:val="28"/>
                <w:lang w:eastAsia="en-US"/>
              </w:rPr>
              <w:t xml:space="preserve"> 23-ОЗ</w:t>
            </w:r>
            <w:r>
              <w:rPr>
                <w:rFonts w:eastAsiaTheme="minorHAnsi"/>
                <w:szCs w:val="28"/>
                <w:lang w:eastAsia="en-US"/>
              </w:rPr>
              <w:t xml:space="preserve"> «</w:t>
            </w:r>
            <w:r w:rsidRPr="00AF4FA2">
              <w:rPr>
                <w:rFonts w:eastAsiaTheme="minorHAnsi"/>
                <w:szCs w:val="28"/>
                <w:lang w:eastAsia="en-US"/>
              </w:rPr>
              <w:t>О содействии занятости населения в Свердловской области</w:t>
            </w:r>
            <w:r>
              <w:rPr>
                <w:rFonts w:eastAsiaTheme="minorHAnsi"/>
                <w:szCs w:val="28"/>
                <w:lang w:eastAsia="en-US"/>
              </w:rPr>
              <w:t>» работодателям, осуществляющим деятельность на территории Свердловской области, численность работников которых превышает 100 человек,</w:t>
            </w:r>
            <w:r>
              <w:t xml:space="preserve"> </w:t>
            </w:r>
            <w:r w:rsidRPr="00AF4FA2">
              <w:rPr>
                <w:rFonts w:eastAsiaTheme="minorHAnsi"/>
                <w:szCs w:val="28"/>
                <w:lang w:eastAsia="en-US"/>
              </w:rPr>
              <w:t>устан</w:t>
            </w:r>
            <w:r>
              <w:rPr>
                <w:rFonts w:eastAsiaTheme="minorHAnsi"/>
                <w:szCs w:val="28"/>
                <w:lang w:eastAsia="en-US"/>
              </w:rPr>
              <w:t>о</w:t>
            </w:r>
            <w:r w:rsidRPr="00AF4FA2">
              <w:rPr>
                <w:rFonts w:eastAsiaTheme="minorHAnsi"/>
                <w:szCs w:val="28"/>
                <w:lang w:eastAsia="en-US"/>
              </w:rPr>
              <w:t>вл</w:t>
            </w:r>
            <w:r>
              <w:rPr>
                <w:rFonts w:eastAsiaTheme="minorHAnsi"/>
                <w:szCs w:val="28"/>
                <w:lang w:eastAsia="en-US"/>
              </w:rPr>
              <w:t>ена</w:t>
            </w:r>
            <w:r w:rsidRPr="00AF4FA2">
              <w:rPr>
                <w:rFonts w:eastAsiaTheme="minorHAnsi"/>
                <w:szCs w:val="28"/>
                <w:lang w:eastAsia="en-US"/>
              </w:rPr>
              <w:t xml:space="preserve"> квота для приема на работу инвалидов в размере трех процентов среднесписочной численности работников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  <w:p w:rsidR="00E64409" w:rsidRDefault="00E64409" w:rsidP="00E64409">
            <w:pPr>
              <w:ind w:firstLine="317"/>
              <w:jc w:val="both"/>
              <w:rPr>
                <w:szCs w:val="28"/>
              </w:rPr>
            </w:pPr>
            <w:r w:rsidRPr="009F47B0">
              <w:rPr>
                <w:szCs w:val="28"/>
              </w:rPr>
              <w:t>По состоянию на январь 2015 года в счет установленной квоты работодателям необходимо было выделить рабочие места для трудоустройства 11 840 инвалидов (в январе 2014 года – 19504 инвалидов, снижение показателя на 39,2 процента)</w:t>
            </w:r>
            <w:r>
              <w:rPr>
                <w:szCs w:val="28"/>
              </w:rPr>
              <w:t>, на квотируемых рабочих местах</w:t>
            </w:r>
            <w:r w:rsidRPr="009D2497">
              <w:rPr>
                <w:szCs w:val="28"/>
              </w:rPr>
              <w:t xml:space="preserve"> работа</w:t>
            </w:r>
            <w:r>
              <w:rPr>
                <w:szCs w:val="28"/>
              </w:rPr>
              <w:t>ло</w:t>
            </w:r>
            <w:r w:rsidRPr="009D2497">
              <w:rPr>
                <w:szCs w:val="28"/>
              </w:rPr>
              <w:t xml:space="preserve"> 1</w:t>
            </w:r>
            <w:r>
              <w:rPr>
                <w:szCs w:val="28"/>
              </w:rPr>
              <w:t>3100</w:t>
            </w:r>
            <w:r w:rsidRPr="009D2497">
              <w:rPr>
                <w:szCs w:val="28"/>
              </w:rPr>
              <w:t xml:space="preserve"> инвалид</w:t>
            </w:r>
            <w:r>
              <w:rPr>
                <w:szCs w:val="28"/>
              </w:rPr>
              <w:t>ов</w:t>
            </w:r>
            <w:r w:rsidRPr="009D2497">
              <w:rPr>
                <w:szCs w:val="28"/>
              </w:rPr>
              <w:t>. Невыполнение квоты для приема на работу инвалидов организациями Свердловской области состав</w:t>
            </w:r>
            <w:r>
              <w:rPr>
                <w:szCs w:val="28"/>
              </w:rPr>
              <w:t>ило</w:t>
            </w:r>
            <w:r w:rsidRPr="009D2497">
              <w:rPr>
                <w:szCs w:val="28"/>
              </w:rPr>
              <w:t xml:space="preserve"> </w:t>
            </w:r>
            <w:r>
              <w:rPr>
                <w:szCs w:val="28"/>
              </w:rPr>
              <w:t>3646</w:t>
            </w:r>
            <w:r w:rsidRPr="009D2497">
              <w:rPr>
                <w:szCs w:val="28"/>
              </w:rPr>
              <w:t xml:space="preserve"> человек</w:t>
            </w:r>
            <w:r w:rsidR="00261D2C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Таким образом, </w:t>
            </w:r>
            <w:r w:rsidRPr="002D2912">
              <w:rPr>
                <w:szCs w:val="28"/>
              </w:rPr>
              <w:t>численность уже работающих инвалидов в организациях, подлежащих квотированию, превысила установленную квоту на 10,</w:t>
            </w:r>
            <w:r>
              <w:rPr>
                <w:szCs w:val="28"/>
              </w:rPr>
              <w:t>7</w:t>
            </w:r>
            <w:r w:rsidRPr="002D2912">
              <w:rPr>
                <w:szCs w:val="28"/>
              </w:rPr>
              <w:t xml:space="preserve"> процент</w:t>
            </w:r>
            <w:r>
              <w:rPr>
                <w:szCs w:val="28"/>
              </w:rPr>
              <w:t xml:space="preserve">а, </w:t>
            </w:r>
            <w:r w:rsidRPr="00D024A0">
              <w:rPr>
                <w:szCs w:val="28"/>
              </w:rPr>
              <w:t>при этом  невыполнение квоты составило 3</w:t>
            </w:r>
            <w:r>
              <w:rPr>
                <w:szCs w:val="28"/>
              </w:rPr>
              <w:t>0,8</w:t>
            </w:r>
            <w:r w:rsidRPr="00D024A0">
              <w:rPr>
                <w:szCs w:val="28"/>
              </w:rPr>
              <w:t xml:space="preserve"> процент</w:t>
            </w:r>
            <w:r>
              <w:rPr>
                <w:szCs w:val="28"/>
              </w:rPr>
              <w:t>а</w:t>
            </w:r>
            <w:r w:rsidRPr="00D024A0">
              <w:rPr>
                <w:szCs w:val="28"/>
              </w:rPr>
              <w:t xml:space="preserve">. </w:t>
            </w:r>
          </w:p>
          <w:p w:rsidR="00CD3F25" w:rsidRPr="00E51ECD" w:rsidRDefault="00CD3F25" w:rsidP="00170902">
            <w:pPr>
              <w:pStyle w:val="af5"/>
              <w:tabs>
                <w:tab w:val="left" w:pos="142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1ECD">
              <w:rPr>
                <w:rFonts w:ascii="Times New Roman" w:hAnsi="Times New Roman"/>
                <w:sz w:val="28"/>
                <w:szCs w:val="28"/>
              </w:rPr>
              <w:t xml:space="preserve">К числу квотируемых работодателей в Свердловской области, в основном, относятся учреждения социальной </w:t>
            </w:r>
            <w:r w:rsidRPr="00E51ECD">
              <w:rPr>
                <w:rFonts w:ascii="Times New Roman" w:hAnsi="Times New Roman"/>
                <w:sz w:val="28"/>
                <w:szCs w:val="28"/>
              </w:rPr>
              <w:lastRenderedPageBreak/>
              <w:t>сферы (учреждения образования, здравоохранения, социальной защиты, культуры, спорта, науки, средства массовой информации), обрабатывающие производства, а также организации, занимающиеся торговлей либо оказанием различных услуг.</w:t>
            </w:r>
            <w:proofErr w:type="gramEnd"/>
          </w:p>
          <w:p w:rsidR="00CD3F25" w:rsidRPr="00E51ECD" w:rsidRDefault="00CD3F25" w:rsidP="00170902">
            <w:pPr>
              <w:pStyle w:val="12"/>
              <w:tabs>
                <w:tab w:val="left" w:pos="142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ECD">
              <w:rPr>
                <w:rFonts w:ascii="Times New Roman" w:hAnsi="Times New Roman"/>
                <w:sz w:val="28"/>
                <w:szCs w:val="28"/>
                <w:lang w:val="ru-RU"/>
              </w:rPr>
              <w:t>Такое распределение численности работающих инвалидов объясняется следующими факторами.</w:t>
            </w:r>
          </w:p>
          <w:p w:rsidR="00CD3F25" w:rsidRPr="00E51ECD" w:rsidRDefault="00CD3F25" w:rsidP="00170902">
            <w:pPr>
              <w:pStyle w:val="12"/>
              <w:tabs>
                <w:tab w:val="left" w:pos="142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ECD">
              <w:rPr>
                <w:rFonts w:ascii="Times New Roman" w:hAnsi="Times New Roman"/>
                <w:sz w:val="28"/>
                <w:szCs w:val="28"/>
                <w:lang w:val="ru-RU"/>
              </w:rPr>
              <w:t>В сфере обрабатывающих производств занято значительное число  жителей Свердловской области (22,4 процента от среднегодовой численности занятых в экономике). Кроме того, структура промышленных производств такова, что численность работников в них исчисляется не десятками, а тысячами (в отличие от большинства организаций в сфере услуг и торговли). В связи с этим, большинство организаций, осуществляющих деятельность в сфере металлургии, машиностроения и металлообработки, обработки древесины, производства пищевых продуктов, обработки металлических отходов и лома, обработки вторичного сырья и др., имеют обязанность по выделению (созданию) рабочих мест для инвал</w:t>
            </w:r>
            <w:r w:rsidR="00C073B2">
              <w:rPr>
                <w:rFonts w:ascii="Times New Roman" w:hAnsi="Times New Roman"/>
                <w:sz w:val="28"/>
                <w:szCs w:val="28"/>
                <w:lang w:val="ru-RU"/>
              </w:rPr>
              <w:t>идов в счет установленной квоты</w:t>
            </w:r>
            <w:r w:rsidRPr="00E51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CD3F25" w:rsidRPr="00E51ECD" w:rsidRDefault="00CD3F25" w:rsidP="00170902">
            <w:pPr>
              <w:pStyle w:val="12"/>
              <w:tabs>
                <w:tab w:val="left" w:pos="142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касается социальной сферы, то практически все организации образования, здравоохранения, социальной защиты, культуры находятся в  государственной или муниципальной собственности и финансируются из бюджетов различных уровней. Размер зарплаты и сроки ее выплаты в таких учреждениях стабильны и в определенной степени  гарантированы, что является привлекательным для потенциальных работников. </w:t>
            </w:r>
            <w:r w:rsidR="00C073B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51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оздание в государственных учреждениях (в первую очередь в учреждениях социальной защиты и здравоохранения) специальных рабочих мест для трудоустройства инвалидов позволяют развивать занятость инвалидов, трудовая деятельность которых значительно затруднена в силу состояния здоровья. Речь может идти, прежде всего, об инвалидах, страдающих ментальными расстройствами или расстройствами поведения, так как одним из основных требований к условиям их труда является наличие специальной (медицинской) службы для </w:t>
            </w:r>
            <w:proofErr w:type="gramStart"/>
            <w:r w:rsidRPr="00E51ECD"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E51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поведением в процессе трудовой деятельности и проведения адекватной терапии, коррекции поведения, способствующих безопасности самих инвалидов и их окружения. Создать же такие рабочие места в условиях производства не представляется возможным.  </w:t>
            </w:r>
          </w:p>
          <w:p w:rsidR="00D61F97" w:rsidRDefault="006777F4" w:rsidP="00170902">
            <w:pPr>
              <w:tabs>
                <w:tab w:val="left" w:pos="843"/>
              </w:tabs>
              <w:ind w:firstLine="317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Организации, подлежащие квотированию, отсутствуют </w:t>
            </w:r>
            <w:r>
              <w:rPr>
                <w:rFonts w:eastAsia="Calibri"/>
                <w:szCs w:val="28"/>
              </w:rPr>
              <w:lastRenderedPageBreak/>
              <w:t>в 4-х муниципальных образованиях Свердловской области</w:t>
            </w:r>
            <w:r>
              <w:rPr>
                <w:color w:val="000000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Cs w:val="28"/>
              </w:rPr>
              <w:t>Таборинский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городской округ Староуткинск, </w:t>
            </w:r>
            <w:proofErr w:type="spellStart"/>
            <w:r>
              <w:rPr>
                <w:color w:val="000000"/>
                <w:szCs w:val="28"/>
              </w:rPr>
              <w:t>Гаринский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округ, городской округ «поселок Уральский»). В 22 муниципальных образованиях Свердловской области </w:t>
            </w:r>
            <w:r>
              <w:rPr>
                <w:rFonts w:eastAsia="Calibri"/>
                <w:szCs w:val="28"/>
              </w:rPr>
              <w:t xml:space="preserve">работодателями квота для приема на работу инвалидов выполнена в полном объеме. </w:t>
            </w:r>
            <w:r w:rsidR="00C073B2">
              <w:rPr>
                <w:rFonts w:eastAsia="Calibri"/>
                <w:szCs w:val="28"/>
              </w:rPr>
              <w:t xml:space="preserve">Только в 9 муниципальных образованиях численность инвалидов, состоящих на учете в центрах занятости в качестве ищущих работу, ниже количества свободных квотируемых рабочих мест. </w:t>
            </w:r>
            <w:r w:rsidR="00EE39EA">
              <w:rPr>
                <w:rFonts w:eastAsia="Calibri"/>
                <w:szCs w:val="28"/>
              </w:rPr>
              <w:t>Наибольшее количество «незаполненных» квотируемых мест зафиксировано в городе Екатеринбурге</w:t>
            </w:r>
            <w:r w:rsidR="00261D2C">
              <w:rPr>
                <w:rFonts w:eastAsia="Calibri"/>
                <w:szCs w:val="28"/>
              </w:rPr>
              <w:t xml:space="preserve"> </w:t>
            </w:r>
            <w:r w:rsidR="00261D2C">
              <w:rPr>
                <w:szCs w:val="28"/>
              </w:rPr>
              <w:t>(работодателями не приняты в счет квоты для трудоустройства инвалидов 2648 человек, или 72,6 процента невыполненной квоты)</w:t>
            </w:r>
            <w:r w:rsidR="00C073B2">
              <w:rPr>
                <w:rFonts w:eastAsia="Calibri"/>
                <w:szCs w:val="28"/>
              </w:rPr>
              <w:t>.</w:t>
            </w:r>
            <w:r w:rsidR="00EE39EA">
              <w:rPr>
                <w:szCs w:val="28"/>
              </w:rPr>
              <w:t xml:space="preserve"> Такая ситуация объясняется тем, что инвестиционные потоки концентрируются в первую очередь в административном центре области, что приводит и к концентрации </w:t>
            </w:r>
            <w:r w:rsidR="000728E9">
              <w:rPr>
                <w:szCs w:val="28"/>
              </w:rPr>
              <w:t xml:space="preserve">здесь же </w:t>
            </w:r>
            <w:r w:rsidR="00EE39EA">
              <w:rPr>
                <w:szCs w:val="28"/>
              </w:rPr>
              <w:t>промышленного производства.</w:t>
            </w:r>
            <w:r w:rsidR="000728E9">
              <w:rPr>
                <w:szCs w:val="28"/>
              </w:rPr>
              <w:t xml:space="preserve"> Не выполняют квоту в Екатеринбурге в основном крупные промышленные предприятия, имеющие, как правило, значительное количество рабочих ме</w:t>
            </w:r>
            <w:proofErr w:type="gramStart"/>
            <w:r w:rsidR="000728E9">
              <w:rPr>
                <w:szCs w:val="28"/>
              </w:rPr>
              <w:t>ст с вр</w:t>
            </w:r>
            <w:proofErr w:type="gramEnd"/>
            <w:r w:rsidR="000728E9">
              <w:rPr>
                <w:szCs w:val="28"/>
              </w:rPr>
              <w:t xml:space="preserve">едными и опасными условиями труда. С другой стороны в областном центре </w:t>
            </w:r>
            <w:r w:rsidR="00EE39EA">
              <w:rPr>
                <w:szCs w:val="28"/>
              </w:rPr>
              <w:t xml:space="preserve"> естественным образом концентриру</w:t>
            </w:r>
            <w:r w:rsidR="00170902">
              <w:rPr>
                <w:szCs w:val="28"/>
              </w:rPr>
              <w:t>ю</w:t>
            </w:r>
            <w:r w:rsidR="00EE39EA">
              <w:rPr>
                <w:szCs w:val="28"/>
              </w:rPr>
              <w:t xml:space="preserve">тся и </w:t>
            </w:r>
            <w:r w:rsidR="00170902">
              <w:rPr>
                <w:szCs w:val="28"/>
              </w:rPr>
              <w:t xml:space="preserve">организации </w:t>
            </w:r>
            <w:r w:rsidR="00EE39EA">
              <w:rPr>
                <w:szCs w:val="28"/>
              </w:rPr>
              <w:t>сфер</w:t>
            </w:r>
            <w:r w:rsidR="00170902">
              <w:rPr>
                <w:szCs w:val="28"/>
              </w:rPr>
              <w:t>ы</w:t>
            </w:r>
            <w:r w:rsidR="00EE39EA">
              <w:rPr>
                <w:szCs w:val="28"/>
              </w:rPr>
              <w:t xml:space="preserve"> услуг </w:t>
            </w:r>
            <w:r w:rsidR="00170902">
              <w:rPr>
                <w:szCs w:val="28"/>
              </w:rPr>
              <w:t>(</w:t>
            </w:r>
            <w:r w:rsidR="00EE39EA">
              <w:rPr>
                <w:szCs w:val="28"/>
              </w:rPr>
              <w:t xml:space="preserve">в том числе </w:t>
            </w:r>
            <w:r w:rsidR="00170902">
              <w:rPr>
                <w:szCs w:val="28"/>
              </w:rPr>
              <w:t xml:space="preserve">предприятия </w:t>
            </w:r>
            <w:r w:rsidR="000728E9">
              <w:rPr>
                <w:szCs w:val="28"/>
              </w:rPr>
              <w:t>торговл</w:t>
            </w:r>
            <w:r w:rsidR="00170902">
              <w:rPr>
                <w:szCs w:val="28"/>
              </w:rPr>
              <w:t xml:space="preserve">и). </w:t>
            </w:r>
            <w:r w:rsidR="000728E9">
              <w:rPr>
                <w:szCs w:val="28"/>
              </w:rPr>
              <w:t>Однако такие работодатели,</w:t>
            </w:r>
            <w:r w:rsidR="00170902">
              <w:rPr>
                <w:szCs w:val="28"/>
              </w:rPr>
              <w:t xml:space="preserve"> </w:t>
            </w:r>
            <w:r w:rsidR="000728E9">
              <w:rPr>
                <w:szCs w:val="28"/>
              </w:rPr>
              <w:t>как п</w:t>
            </w:r>
            <w:r w:rsidR="00170902">
              <w:rPr>
                <w:szCs w:val="28"/>
              </w:rPr>
              <w:t>р</w:t>
            </w:r>
            <w:r w:rsidR="000728E9">
              <w:rPr>
                <w:szCs w:val="28"/>
              </w:rPr>
              <w:t>авило</w:t>
            </w:r>
            <w:r w:rsidR="00170902">
              <w:rPr>
                <w:szCs w:val="28"/>
              </w:rPr>
              <w:t>,</w:t>
            </w:r>
            <w:r w:rsidR="000728E9">
              <w:rPr>
                <w:szCs w:val="28"/>
              </w:rPr>
              <w:t xml:space="preserve"> имеют</w:t>
            </w:r>
            <w:r w:rsidR="00170902">
              <w:rPr>
                <w:szCs w:val="28"/>
              </w:rPr>
              <w:t xml:space="preserve"> численность работников менее 100 человек и, как следствие, не попадают под нормы законодательства о квотировании.</w:t>
            </w:r>
            <w:r w:rsidR="000728E9">
              <w:rPr>
                <w:szCs w:val="28"/>
              </w:rPr>
              <w:t xml:space="preserve"> </w:t>
            </w:r>
          </w:p>
          <w:p w:rsidR="00E64409" w:rsidRDefault="00E64409" w:rsidP="00E64409">
            <w:pPr>
              <w:overflowPunct/>
              <w:ind w:firstLine="317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Проблема существующего механизма квотирования заключается в том, что основная масса работодателей, действующих на территории Свердловской области, имеет штатную структуру порядка 20-70 человек. </w:t>
            </w:r>
          </w:p>
          <w:p w:rsidR="00E64409" w:rsidRDefault="00E64409" w:rsidP="00E64409">
            <w:pPr>
              <w:overflowPunct/>
              <w:ind w:firstLine="317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Поэтому количество рабочих мест, подлежащих квотированию для трудоустройства инвалидов, остается незначительным и не позволяет в полной мере обеспечивать гарантии занятости инвалидов. То есть, при существующем механизме квотирования не во всех организациях существуют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заквотированные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рабочие места, в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связи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с чем инвалиды зачастую не в состоянии трудоустроится на данные рабочие места.</w:t>
            </w:r>
          </w:p>
          <w:p w:rsidR="00170902" w:rsidRDefault="00170902" w:rsidP="00170902">
            <w:pPr>
              <w:tabs>
                <w:tab w:val="left" w:pos="843"/>
              </w:tabs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Большую часть работодателей с численностью работников от 35 до 100 человек составляют учреждения в сфере образования, культуры, спорта, здравоохранения и социальной защиты, а также организации в сфере торговли, предоставления услуг, условия труда в которых более приемлемы для инвалидов.  Установление квоты для </w:t>
            </w:r>
            <w:r>
              <w:rPr>
                <w:szCs w:val="28"/>
              </w:rPr>
              <w:lastRenderedPageBreak/>
              <w:t>таких работодателей позволит обеспечить дополнительные гарантии занятости инвалидов.</w:t>
            </w:r>
          </w:p>
          <w:p w:rsidR="00E64409" w:rsidRDefault="00E64409" w:rsidP="00E64409">
            <w:pPr>
              <w:ind w:firstLine="317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Таким образом, предлагается воспользоваться правом, установленным </w:t>
            </w:r>
            <w:r w:rsidRPr="008F44DA">
              <w:rPr>
                <w:rFonts w:eastAsiaTheme="minorHAnsi"/>
                <w:szCs w:val="28"/>
                <w:lang w:eastAsia="en-US"/>
              </w:rPr>
              <w:t>Федеральн</w:t>
            </w:r>
            <w:r>
              <w:rPr>
                <w:rFonts w:eastAsiaTheme="minorHAnsi"/>
                <w:szCs w:val="28"/>
                <w:lang w:eastAsia="en-US"/>
              </w:rPr>
              <w:t>ым</w:t>
            </w:r>
            <w:r w:rsidRPr="008F44DA">
              <w:rPr>
                <w:rFonts w:eastAsiaTheme="minorHAnsi"/>
                <w:szCs w:val="28"/>
                <w:lang w:eastAsia="en-US"/>
              </w:rPr>
              <w:t xml:space="preserve"> закон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8F44DA">
              <w:rPr>
                <w:rFonts w:eastAsiaTheme="minorHAnsi"/>
                <w:szCs w:val="28"/>
                <w:lang w:eastAsia="en-US"/>
              </w:rPr>
              <w:t xml:space="preserve"> от 24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F44DA">
              <w:rPr>
                <w:rFonts w:eastAsiaTheme="minorHAnsi"/>
                <w:szCs w:val="28"/>
                <w:lang w:eastAsia="en-US"/>
              </w:rPr>
              <w:t>ноября 1995 года № 181-ФЗ «О социальной защите инвалидов в Российской Федерации»</w:t>
            </w:r>
            <w:r>
              <w:rPr>
                <w:rFonts w:eastAsiaTheme="minorHAnsi"/>
                <w:szCs w:val="28"/>
                <w:lang w:eastAsia="en-US"/>
              </w:rPr>
              <w:t xml:space="preserve">, и установить обязанность работодателей, </w:t>
            </w:r>
            <w:r w:rsidRPr="009F2C10">
              <w:rPr>
                <w:rFonts w:eastAsiaTheme="minorHAnsi"/>
                <w:szCs w:val="28"/>
                <w:lang w:eastAsia="en-US"/>
              </w:rPr>
              <w:t>численность работников которых составляет не менее чем 35 человек и не более чем 100 человек,</w:t>
            </w:r>
            <w:r>
              <w:rPr>
                <w:rFonts w:eastAsiaTheme="minorHAnsi"/>
                <w:szCs w:val="28"/>
                <w:lang w:eastAsia="en-US"/>
              </w:rPr>
              <w:t xml:space="preserve"> по квотированию рабочих мест для инвалидов.</w:t>
            </w:r>
          </w:p>
          <w:p w:rsidR="00E64409" w:rsidRPr="00261D2C" w:rsidRDefault="00E64409" w:rsidP="00261D2C">
            <w:pPr>
              <w:ind w:firstLine="317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Предложенный механизм позволит Департаменту по труду и занятости населения осуществлять контроль трудоустройства инвалидов в организациях, численность работников которых составляет от 35 до 100 человек, что в настоящее время невозможно. </w:t>
            </w:r>
          </w:p>
        </w:tc>
      </w:tr>
      <w:tr w:rsidR="00885AAF" w:rsidRPr="00E87E10" w:rsidTr="00030900">
        <w:tc>
          <w:tcPr>
            <w:tcW w:w="2552" w:type="dxa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>Круг лиц, на которых будет распространяться действие нормативного правового акта:</w:t>
            </w:r>
          </w:p>
        </w:tc>
        <w:tc>
          <w:tcPr>
            <w:tcW w:w="7371" w:type="dxa"/>
          </w:tcPr>
          <w:p w:rsidR="00222245" w:rsidRDefault="00222245" w:rsidP="00170902">
            <w:pPr>
              <w:pStyle w:val="a8"/>
              <w:ind w:left="0" w:firstLine="317"/>
              <w:jc w:val="both"/>
              <w:rPr>
                <w:szCs w:val="28"/>
              </w:rPr>
            </w:pPr>
            <w:r w:rsidRPr="00F264EC">
              <w:rPr>
                <w:szCs w:val="28"/>
              </w:rPr>
              <w:t>Предлагаемый законопроект затронет всех работодателей независимо от организационно-правовой формы</w:t>
            </w:r>
            <w:r>
              <w:rPr>
                <w:szCs w:val="28"/>
              </w:rPr>
              <w:t xml:space="preserve"> и видов деятельности</w:t>
            </w:r>
            <w:r w:rsidRPr="00F264E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у которых </w:t>
            </w:r>
            <w:r w:rsidRPr="00F264EC">
              <w:rPr>
                <w:szCs w:val="28"/>
              </w:rPr>
              <w:t>численность</w:t>
            </w:r>
            <w:r>
              <w:rPr>
                <w:szCs w:val="28"/>
              </w:rPr>
              <w:t xml:space="preserve"> работников</w:t>
            </w:r>
            <w:r w:rsidRPr="00F264EC">
              <w:rPr>
                <w:szCs w:val="28"/>
              </w:rPr>
              <w:t xml:space="preserve"> составляет более 35 человек.</w:t>
            </w:r>
          </w:p>
          <w:p w:rsidR="00885AAF" w:rsidRDefault="00222245" w:rsidP="00170902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Законопроект не направлен на юридических лиц, осуществляющих определенные виды деятельности, будь то предпринимательская деятельность или инвестиционная деятельность.</w:t>
            </w:r>
          </w:p>
          <w:p w:rsidR="002516E5" w:rsidRDefault="002516E5" w:rsidP="00170902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Кроме того, законопроект, в случае его принят</w:t>
            </w:r>
            <w:r w:rsidR="003C4710">
              <w:rPr>
                <w:szCs w:val="28"/>
              </w:rPr>
              <w:t xml:space="preserve">ия, затронет права инвалидов. Принятие законопроекта позволит трудоустраиваться всем без исключения инвалидам (при наличии физической возможности осуществлять трудовую деятельность) на </w:t>
            </w:r>
            <w:proofErr w:type="spellStart"/>
            <w:r w:rsidR="003C4710">
              <w:rPr>
                <w:szCs w:val="28"/>
              </w:rPr>
              <w:t>заквотированные</w:t>
            </w:r>
            <w:proofErr w:type="spellEnd"/>
            <w:r w:rsidR="003C4710">
              <w:rPr>
                <w:szCs w:val="28"/>
              </w:rPr>
              <w:t xml:space="preserve"> рабочие места. При этом</w:t>
            </w:r>
            <w:proofErr w:type="gramStart"/>
            <w:r w:rsidR="003C4710">
              <w:rPr>
                <w:szCs w:val="28"/>
              </w:rPr>
              <w:t>,</w:t>
            </w:r>
            <w:proofErr w:type="gramEnd"/>
            <w:r w:rsidR="003C4710">
              <w:rPr>
                <w:szCs w:val="28"/>
              </w:rPr>
              <w:t xml:space="preserve"> в случае отказа работодателя, а также при наличии обращения самого инвалида об отказе работодателя в трудоустройстве, Департамент будет иметь возможность более оперативно реагировать на данные нарушения. В настоящее время достаточно сложно доказать факт отказа работодателя в трудоустройстве.</w:t>
            </w:r>
          </w:p>
          <w:p w:rsidR="0051363A" w:rsidRPr="0055501F" w:rsidRDefault="00BD0441" w:rsidP="00170902">
            <w:pPr>
              <w:ind w:firstLine="317"/>
              <w:jc w:val="both"/>
              <w:rPr>
                <w:szCs w:val="28"/>
              </w:rPr>
            </w:pPr>
            <w:r w:rsidRPr="00BD0441">
              <w:rPr>
                <w:szCs w:val="28"/>
              </w:rPr>
              <w:t xml:space="preserve">Количество работодателей с численностью работников свыше 100 человек, представляющих в центры занятости сведения о выполнении квоты, </w:t>
            </w:r>
            <w:r w:rsidR="0051363A" w:rsidRPr="00BD0441">
              <w:rPr>
                <w:szCs w:val="28"/>
              </w:rPr>
              <w:t>на 01.01.2015</w:t>
            </w:r>
            <w:r>
              <w:rPr>
                <w:szCs w:val="28"/>
              </w:rPr>
              <w:t>.</w:t>
            </w:r>
            <w:r w:rsidRPr="00BD0441">
              <w:rPr>
                <w:szCs w:val="28"/>
              </w:rPr>
              <w:t xml:space="preserve"> составляло 1595</w:t>
            </w:r>
            <w:r w:rsidR="0051363A" w:rsidRPr="00BD0441">
              <w:rPr>
                <w:szCs w:val="28"/>
              </w:rPr>
              <w:t>.</w:t>
            </w:r>
            <w:r w:rsidR="00261D2C">
              <w:rPr>
                <w:szCs w:val="28"/>
              </w:rPr>
              <w:t xml:space="preserve"> </w:t>
            </w:r>
            <w:r w:rsidR="0051363A" w:rsidRPr="0055501F">
              <w:rPr>
                <w:szCs w:val="28"/>
              </w:rPr>
              <w:t>По данным Свердловского регионального отделения Фонда социального страхования Российской Федерации на 1 января 201</w:t>
            </w:r>
            <w:r w:rsidR="0051363A">
              <w:rPr>
                <w:szCs w:val="28"/>
              </w:rPr>
              <w:t>4</w:t>
            </w:r>
            <w:r w:rsidR="0051363A" w:rsidRPr="0055501F">
              <w:rPr>
                <w:szCs w:val="28"/>
              </w:rPr>
              <w:t xml:space="preserve"> года количество представивших отчетность страхователей со среднесписочной численностью от 35 до 100 человек составило более 6</w:t>
            </w:r>
            <w:r w:rsidR="005E7899">
              <w:rPr>
                <w:szCs w:val="28"/>
              </w:rPr>
              <w:t> </w:t>
            </w:r>
            <w:r w:rsidR="0051363A" w:rsidRPr="0055501F">
              <w:rPr>
                <w:szCs w:val="28"/>
              </w:rPr>
              <w:t>300</w:t>
            </w:r>
            <w:r w:rsidR="005E7899">
              <w:rPr>
                <w:szCs w:val="28"/>
              </w:rPr>
              <w:t xml:space="preserve"> единиц</w:t>
            </w:r>
            <w:r w:rsidR="0051363A" w:rsidRPr="0055501F">
              <w:rPr>
                <w:szCs w:val="28"/>
              </w:rPr>
              <w:t xml:space="preserve">.  </w:t>
            </w:r>
          </w:p>
          <w:p w:rsidR="0051363A" w:rsidRDefault="005E7899" w:rsidP="00170902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В случае принятия законопроекта планируемое число работодателей, обязанных квотировать рабочие места для инвалидов составит около 7 800 единиц.</w:t>
            </w:r>
            <w:r w:rsidR="00170902">
              <w:rPr>
                <w:szCs w:val="28"/>
              </w:rPr>
              <w:t xml:space="preserve"> </w:t>
            </w:r>
          </w:p>
          <w:p w:rsidR="00BA7343" w:rsidRPr="00E87E10" w:rsidRDefault="00BA7343" w:rsidP="00170902">
            <w:pPr>
              <w:ind w:firstLine="317"/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  <w:tr w:rsidR="00885AAF" w:rsidRPr="00E87E10" w:rsidTr="00030900">
        <w:tc>
          <w:tcPr>
            <w:tcW w:w="2552" w:type="dxa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>Краткое изложение цели регулирования:</w:t>
            </w:r>
          </w:p>
        </w:tc>
        <w:tc>
          <w:tcPr>
            <w:tcW w:w="7371" w:type="dxa"/>
          </w:tcPr>
          <w:p w:rsidR="00222245" w:rsidRPr="00222245" w:rsidRDefault="00222245" w:rsidP="00170902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Законопроект предлагается принять в целях </w:t>
            </w:r>
            <w:r w:rsidRPr="00222245">
              <w:rPr>
                <w:rFonts w:eastAsia="Calibri"/>
                <w:szCs w:val="28"/>
              </w:rPr>
              <w:t>корректировки механизма установления квоты работодателям Свердловской области, в том числе в части установления квоты для работодателей, численность работников которых составляет не менее чем 35 человек и не более чем 100 человек.</w:t>
            </w:r>
          </w:p>
          <w:p w:rsidR="00885AAF" w:rsidRPr="00E87E10" w:rsidRDefault="009F47B0" w:rsidP="00170902">
            <w:pPr>
              <w:tabs>
                <w:tab w:val="left" w:pos="142"/>
              </w:tabs>
              <w:ind w:firstLine="31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 этой связи предлагается установить необходимость квотировать рабочие места работодателям, чья численность</w:t>
            </w:r>
            <w:r w:rsidRPr="00222245">
              <w:rPr>
                <w:rFonts w:eastAsia="Calibri"/>
                <w:szCs w:val="28"/>
              </w:rPr>
              <w:t xml:space="preserve"> не менее чем 35 человек и не более чем 100 человек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885AAF" w:rsidRPr="00E87E10" w:rsidTr="00030900">
        <w:tc>
          <w:tcPr>
            <w:tcW w:w="2552" w:type="dxa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Срок, в течение которого разработчиком принимаются предложения:</w:t>
            </w:r>
          </w:p>
        </w:tc>
        <w:tc>
          <w:tcPr>
            <w:tcW w:w="7371" w:type="dxa"/>
          </w:tcPr>
          <w:p w:rsidR="00885AAF" w:rsidRDefault="00885AAF" w:rsidP="00170902">
            <w:pPr>
              <w:ind w:firstLine="317"/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9F47B0">
              <w:rPr>
                <w:szCs w:val="28"/>
              </w:rPr>
              <w:t>5</w:t>
            </w:r>
            <w:r w:rsidRPr="00E87E10">
              <w:rPr>
                <w:szCs w:val="28"/>
              </w:rPr>
              <w:t xml:space="preserve"> календарных дней </w:t>
            </w:r>
            <w:proofErr w:type="gramStart"/>
            <w:r w:rsidRPr="00E87E10">
              <w:rPr>
                <w:szCs w:val="28"/>
              </w:rPr>
              <w:t>с даты размещения</w:t>
            </w:r>
            <w:proofErr w:type="gramEnd"/>
            <w:r w:rsidRPr="00E87E10">
              <w:rPr>
                <w:szCs w:val="28"/>
              </w:rPr>
              <w:t xml:space="preserve"> настоящего Уведомления</w:t>
            </w:r>
            <w:r w:rsidR="009F47B0">
              <w:rPr>
                <w:szCs w:val="28"/>
              </w:rPr>
              <w:t>.</w:t>
            </w:r>
          </w:p>
          <w:p w:rsidR="009F47B0" w:rsidRPr="00C469E9" w:rsidRDefault="009F47B0" w:rsidP="00170902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Способ направления предложений на а</w:t>
            </w:r>
            <w:r w:rsidRPr="00C469E9">
              <w:rPr>
                <w:szCs w:val="28"/>
              </w:rPr>
              <w:t>дрес электронной почты: e.moskaleva@egov66.ru</w:t>
            </w:r>
          </w:p>
          <w:p w:rsidR="009F47B0" w:rsidRPr="00E87E10" w:rsidRDefault="009F47B0" w:rsidP="00170902">
            <w:pPr>
              <w:ind w:firstLine="317"/>
              <w:rPr>
                <w:szCs w:val="28"/>
              </w:rPr>
            </w:pPr>
          </w:p>
        </w:tc>
      </w:tr>
      <w:tr w:rsidR="00885AAF" w:rsidRPr="00E87E10" w:rsidTr="00030900">
        <w:tc>
          <w:tcPr>
            <w:tcW w:w="2552" w:type="dxa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Иная информация:</w:t>
            </w:r>
          </w:p>
        </w:tc>
        <w:tc>
          <w:tcPr>
            <w:tcW w:w="7371" w:type="dxa"/>
          </w:tcPr>
          <w:p w:rsidR="00885AAF" w:rsidRPr="00E87E10" w:rsidRDefault="009F47B0" w:rsidP="000309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</w:tbl>
    <w:p w:rsidR="00885AAF" w:rsidRPr="00E87E10" w:rsidRDefault="00885AAF" w:rsidP="00885AAF">
      <w:pPr>
        <w:rPr>
          <w:szCs w:val="28"/>
          <w:u w:val="single"/>
        </w:rPr>
      </w:pPr>
    </w:p>
    <w:p w:rsidR="00885AAF" w:rsidRDefault="00885AAF" w:rsidP="00885AAF">
      <w:pPr>
        <w:ind w:hanging="426"/>
        <w:rPr>
          <w:szCs w:val="28"/>
        </w:rPr>
      </w:pPr>
      <w:r w:rsidRPr="00E87E10">
        <w:rPr>
          <w:szCs w:val="28"/>
        </w:rPr>
        <w:t xml:space="preserve">       </w:t>
      </w:r>
    </w:p>
    <w:p w:rsidR="009F47B0" w:rsidRPr="00E87E10" w:rsidRDefault="009F47B0" w:rsidP="00885AAF">
      <w:pPr>
        <w:ind w:hanging="426"/>
        <w:rPr>
          <w:szCs w:val="28"/>
        </w:rPr>
      </w:pPr>
    </w:p>
    <w:p w:rsidR="00885AAF" w:rsidRPr="00E87E10" w:rsidRDefault="009F47B0" w:rsidP="00885AAF">
      <w:pPr>
        <w:rPr>
          <w:i/>
          <w:szCs w:val="28"/>
          <w:u w:val="single"/>
        </w:rPr>
      </w:pPr>
      <w:r>
        <w:rPr>
          <w:szCs w:val="28"/>
        </w:rPr>
        <w:t>Директор Департамента</w:t>
      </w:r>
      <w:r>
        <w:rPr>
          <w:szCs w:val="28"/>
        </w:rPr>
        <w:tab/>
      </w:r>
      <w:r w:rsidR="00885AAF" w:rsidRPr="00E87E10">
        <w:rPr>
          <w:szCs w:val="28"/>
        </w:rPr>
        <w:t xml:space="preserve">   </w:t>
      </w:r>
      <w:r w:rsidR="00885AAF" w:rsidRPr="00E87E10">
        <w:rPr>
          <w:szCs w:val="28"/>
        </w:rPr>
        <w:tab/>
      </w:r>
      <w:r w:rsidR="00885AAF" w:rsidRPr="00E87E10">
        <w:rPr>
          <w:szCs w:val="28"/>
        </w:rPr>
        <w:tab/>
      </w:r>
      <w:r w:rsidR="00885AAF" w:rsidRPr="00E87E10">
        <w:rPr>
          <w:szCs w:val="28"/>
        </w:rPr>
        <w:tab/>
      </w:r>
      <w:r w:rsidR="00885AAF" w:rsidRPr="00E87E10">
        <w:rPr>
          <w:szCs w:val="28"/>
        </w:rPr>
        <w:tab/>
      </w:r>
      <w:r>
        <w:rPr>
          <w:szCs w:val="28"/>
        </w:rPr>
        <w:t xml:space="preserve">                           Д.А. Антонов</w:t>
      </w: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sectPr w:rsidR="00885AAF" w:rsidRPr="00E87E10" w:rsidSect="00266926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D1" w:rsidRDefault="00052BD1" w:rsidP="00335404">
      <w:r>
        <w:separator/>
      </w:r>
    </w:p>
  </w:endnote>
  <w:endnote w:type="continuationSeparator" w:id="0">
    <w:p w:rsidR="00052BD1" w:rsidRDefault="00052BD1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D1" w:rsidRDefault="00052BD1" w:rsidP="00335404">
      <w:r>
        <w:separator/>
      </w:r>
    </w:p>
  </w:footnote>
  <w:footnote w:type="continuationSeparator" w:id="0">
    <w:p w:rsidR="00052BD1" w:rsidRDefault="00052BD1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CE1036" w:rsidRDefault="00A230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1036" w:rsidRDefault="00CE10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3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4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46F40F0"/>
    <w:multiLevelType w:val="multilevel"/>
    <w:tmpl w:val="FB92CB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9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18"/>
  </w:num>
  <w:num w:numId="5">
    <w:abstractNumId w:val="12"/>
  </w:num>
  <w:num w:numId="6">
    <w:abstractNumId w:val="29"/>
  </w:num>
  <w:num w:numId="7">
    <w:abstractNumId w:val="26"/>
  </w:num>
  <w:num w:numId="8">
    <w:abstractNumId w:val="28"/>
  </w:num>
  <w:num w:numId="9">
    <w:abstractNumId w:val="7"/>
  </w:num>
  <w:num w:numId="10">
    <w:abstractNumId w:val="32"/>
  </w:num>
  <w:num w:numId="11">
    <w:abstractNumId w:val="15"/>
  </w:num>
  <w:num w:numId="12">
    <w:abstractNumId w:val="23"/>
  </w:num>
  <w:num w:numId="13">
    <w:abstractNumId w:val="16"/>
  </w:num>
  <w:num w:numId="14">
    <w:abstractNumId w:val="22"/>
  </w:num>
  <w:num w:numId="15">
    <w:abstractNumId w:val="20"/>
  </w:num>
  <w:num w:numId="16">
    <w:abstractNumId w:val="31"/>
  </w:num>
  <w:num w:numId="17">
    <w:abstractNumId w:val="30"/>
  </w:num>
  <w:num w:numId="18">
    <w:abstractNumId w:val="6"/>
  </w:num>
  <w:num w:numId="19">
    <w:abstractNumId w:val="25"/>
  </w:num>
  <w:num w:numId="20">
    <w:abstractNumId w:val="8"/>
  </w:num>
  <w:num w:numId="21">
    <w:abstractNumId w:val="5"/>
  </w:num>
  <w:num w:numId="22">
    <w:abstractNumId w:val="24"/>
  </w:num>
  <w:num w:numId="23">
    <w:abstractNumId w:val="0"/>
  </w:num>
  <w:num w:numId="24">
    <w:abstractNumId w:val="11"/>
  </w:num>
  <w:num w:numId="25">
    <w:abstractNumId w:val="2"/>
  </w:num>
  <w:num w:numId="26">
    <w:abstractNumId w:val="33"/>
  </w:num>
  <w:num w:numId="27">
    <w:abstractNumId w:val="9"/>
  </w:num>
  <w:num w:numId="28">
    <w:abstractNumId w:val="14"/>
  </w:num>
  <w:num w:numId="29">
    <w:abstractNumId w:val="1"/>
  </w:num>
  <w:num w:numId="30">
    <w:abstractNumId w:val="21"/>
  </w:num>
  <w:num w:numId="31">
    <w:abstractNumId w:val="4"/>
  </w:num>
  <w:num w:numId="32">
    <w:abstractNumId w:val="3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50B2"/>
    <w:rsid w:val="00012EFF"/>
    <w:rsid w:val="00013A09"/>
    <w:rsid w:val="000253B7"/>
    <w:rsid w:val="00030900"/>
    <w:rsid w:val="00037BD7"/>
    <w:rsid w:val="000454A5"/>
    <w:rsid w:val="00052BD1"/>
    <w:rsid w:val="000550CA"/>
    <w:rsid w:val="000728E9"/>
    <w:rsid w:val="00076D68"/>
    <w:rsid w:val="000913FA"/>
    <w:rsid w:val="000A3BE4"/>
    <w:rsid w:val="000A63D2"/>
    <w:rsid w:val="000A75BE"/>
    <w:rsid w:val="000B3417"/>
    <w:rsid w:val="000C14AB"/>
    <w:rsid w:val="000C39A2"/>
    <w:rsid w:val="000D26F9"/>
    <w:rsid w:val="000D636A"/>
    <w:rsid w:val="000E683C"/>
    <w:rsid w:val="000F2770"/>
    <w:rsid w:val="000F2F88"/>
    <w:rsid w:val="000F4B50"/>
    <w:rsid w:val="000F57E4"/>
    <w:rsid w:val="00104B8F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70902"/>
    <w:rsid w:val="00180B6F"/>
    <w:rsid w:val="00185201"/>
    <w:rsid w:val="00186203"/>
    <w:rsid w:val="00192653"/>
    <w:rsid w:val="0019365B"/>
    <w:rsid w:val="001A1E9A"/>
    <w:rsid w:val="001A2E06"/>
    <w:rsid w:val="001A7464"/>
    <w:rsid w:val="001B25EE"/>
    <w:rsid w:val="001C6E37"/>
    <w:rsid w:val="001D4756"/>
    <w:rsid w:val="001F1EFC"/>
    <w:rsid w:val="001F6A42"/>
    <w:rsid w:val="00203594"/>
    <w:rsid w:val="002062AF"/>
    <w:rsid w:val="00206833"/>
    <w:rsid w:val="002071A4"/>
    <w:rsid w:val="00217742"/>
    <w:rsid w:val="00222245"/>
    <w:rsid w:val="00223605"/>
    <w:rsid w:val="00224748"/>
    <w:rsid w:val="002319F7"/>
    <w:rsid w:val="00232771"/>
    <w:rsid w:val="00234BED"/>
    <w:rsid w:val="002415FD"/>
    <w:rsid w:val="002516E5"/>
    <w:rsid w:val="002569AE"/>
    <w:rsid w:val="002601AB"/>
    <w:rsid w:val="00261856"/>
    <w:rsid w:val="00261D2C"/>
    <w:rsid w:val="002624B4"/>
    <w:rsid w:val="002649C1"/>
    <w:rsid w:val="00266926"/>
    <w:rsid w:val="002679C9"/>
    <w:rsid w:val="00290F37"/>
    <w:rsid w:val="002A0D73"/>
    <w:rsid w:val="002A2B6A"/>
    <w:rsid w:val="002A3DCB"/>
    <w:rsid w:val="002A75AC"/>
    <w:rsid w:val="002B163F"/>
    <w:rsid w:val="002C1EE2"/>
    <w:rsid w:val="002C6347"/>
    <w:rsid w:val="002D6AA4"/>
    <w:rsid w:val="002D6B9B"/>
    <w:rsid w:val="002F0315"/>
    <w:rsid w:val="002F368C"/>
    <w:rsid w:val="00300A39"/>
    <w:rsid w:val="00300E45"/>
    <w:rsid w:val="0030167A"/>
    <w:rsid w:val="003256C3"/>
    <w:rsid w:val="003303DE"/>
    <w:rsid w:val="00331533"/>
    <w:rsid w:val="003323B1"/>
    <w:rsid w:val="00333FEE"/>
    <w:rsid w:val="00335404"/>
    <w:rsid w:val="00341A8C"/>
    <w:rsid w:val="00341B93"/>
    <w:rsid w:val="00345629"/>
    <w:rsid w:val="00350ACE"/>
    <w:rsid w:val="003546D9"/>
    <w:rsid w:val="0036136C"/>
    <w:rsid w:val="00372B4E"/>
    <w:rsid w:val="00372FE0"/>
    <w:rsid w:val="00380F78"/>
    <w:rsid w:val="00386A53"/>
    <w:rsid w:val="00396BFD"/>
    <w:rsid w:val="003A453A"/>
    <w:rsid w:val="003B2539"/>
    <w:rsid w:val="003B37BB"/>
    <w:rsid w:val="003C436C"/>
    <w:rsid w:val="003C4710"/>
    <w:rsid w:val="003C609E"/>
    <w:rsid w:val="003C7221"/>
    <w:rsid w:val="003D7AB1"/>
    <w:rsid w:val="003E2748"/>
    <w:rsid w:val="003E6E08"/>
    <w:rsid w:val="003F6247"/>
    <w:rsid w:val="004040C1"/>
    <w:rsid w:val="00421CA9"/>
    <w:rsid w:val="00421CD6"/>
    <w:rsid w:val="00464CB7"/>
    <w:rsid w:val="00471888"/>
    <w:rsid w:val="00480F10"/>
    <w:rsid w:val="004853C7"/>
    <w:rsid w:val="00490F5F"/>
    <w:rsid w:val="004A4FD1"/>
    <w:rsid w:val="004A6CA4"/>
    <w:rsid w:val="004B7521"/>
    <w:rsid w:val="004C1970"/>
    <w:rsid w:val="004C3D82"/>
    <w:rsid w:val="004D1AB8"/>
    <w:rsid w:val="004D3FF0"/>
    <w:rsid w:val="004F278F"/>
    <w:rsid w:val="004F4FD3"/>
    <w:rsid w:val="004F5F2E"/>
    <w:rsid w:val="0051346B"/>
    <w:rsid w:val="0051363A"/>
    <w:rsid w:val="005177F8"/>
    <w:rsid w:val="00520009"/>
    <w:rsid w:val="0052339D"/>
    <w:rsid w:val="00523B74"/>
    <w:rsid w:val="00526047"/>
    <w:rsid w:val="005436E7"/>
    <w:rsid w:val="00545004"/>
    <w:rsid w:val="005526CF"/>
    <w:rsid w:val="00585D52"/>
    <w:rsid w:val="00591F32"/>
    <w:rsid w:val="00594424"/>
    <w:rsid w:val="00596AF3"/>
    <w:rsid w:val="005A5F66"/>
    <w:rsid w:val="005A7734"/>
    <w:rsid w:val="005B05E6"/>
    <w:rsid w:val="005B3024"/>
    <w:rsid w:val="005B6230"/>
    <w:rsid w:val="005C3C5E"/>
    <w:rsid w:val="005C3CFD"/>
    <w:rsid w:val="005C485B"/>
    <w:rsid w:val="005C4B0C"/>
    <w:rsid w:val="005D07F8"/>
    <w:rsid w:val="005E2B16"/>
    <w:rsid w:val="005E54B0"/>
    <w:rsid w:val="005E67FA"/>
    <w:rsid w:val="005E7819"/>
    <w:rsid w:val="005E7899"/>
    <w:rsid w:val="005F1516"/>
    <w:rsid w:val="005F776C"/>
    <w:rsid w:val="00610163"/>
    <w:rsid w:val="006124F6"/>
    <w:rsid w:val="00623BD1"/>
    <w:rsid w:val="006270EC"/>
    <w:rsid w:val="00627898"/>
    <w:rsid w:val="00631098"/>
    <w:rsid w:val="00634E20"/>
    <w:rsid w:val="00652429"/>
    <w:rsid w:val="00656B94"/>
    <w:rsid w:val="00664A2B"/>
    <w:rsid w:val="00665950"/>
    <w:rsid w:val="00665A98"/>
    <w:rsid w:val="006777F4"/>
    <w:rsid w:val="00682DF0"/>
    <w:rsid w:val="00686F86"/>
    <w:rsid w:val="0069287B"/>
    <w:rsid w:val="006A20A6"/>
    <w:rsid w:val="006B5771"/>
    <w:rsid w:val="006C157B"/>
    <w:rsid w:val="006D6E11"/>
    <w:rsid w:val="006E1D62"/>
    <w:rsid w:val="00704E52"/>
    <w:rsid w:val="007056F0"/>
    <w:rsid w:val="00705DE5"/>
    <w:rsid w:val="00705F0E"/>
    <w:rsid w:val="0071019A"/>
    <w:rsid w:val="0071307B"/>
    <w:rsid w:val="00717755"/>
    <w:rsid w:val="00726099"/>
    <w:rsid w:val="00747F22"/>
    <w:rsid w:val="00747F3C"/>
    <w:rsid w:val="00752316"/>
    <w:rsid w:val="007606E5"/>
    <w:rsid w:val="0076477D"/>
    <w:rsid w:val="007767E3"/>
    <w:rsid w:val="007842D5"/>
    <w:rsid w:val="0079065B"/>
    <w:rsid w:val="007935FC"/>
    <w:rsid w:val="00793A72"/>
    <w:rsid w:val="007959D9"/>
    <w:rsid w:val="007A1212"/>
    <w:rsid w:val="007A17FA"/>
    <w:rsid w:val="007A1B38"/>
    <w:rsid w:val="007A6589"/>
    <w:rsid w:val="007B524A"/>
    <w:rsid w:val="007C0F5F"/>
    <w:rsid w:val="007D1067"/>
    <w:rsid w:val="007D51B7"/>
    <w:rsid w:val="007F0F63"/>
    <w:rsid w:val="007F116E"/>
    <w:rsid w:val="007F44D7"/>
    <w:rsid w:val="00800F1A"/>
    <w:rsid w:val="008038D4"/>
    <w:rsid w:val="00803B43"/>
    <w:rsid w:val="008126A8"/>
    <w:rsid w:val="00815212"/>
    <w:rsid w:val="008257A0"/>
    <w:rsid w:val="0083143F"/>
    <w:rsid w:val="0083149E"/>
    <w:rsid w:val="008333BD"/>
    <w:rsid w:val="008361D3"/>
    <w:rsid w:val="0083721A"/>
    <w:rsid w:val="00837E7A"/>
    <w:rsid w:val="0084481E"/>
    <w:rsid w:val="00845C49"/>
    <w:rsid w:val="00845C79"/>
    <w:rsid w:val="00847FCC"/>
    <w:rsid w:val="00852246"/>
    <w:rsid w:val="00854E64"/>
    <w:rsid w:val="008564AD"/>
    <w:rsid w:val="0086358F"/>
    <w:rsid w:val="00885AAF"/>
    <w:rsid w:val="00885E18"/>
    <w:rsid w:val="008928A9"/>
    <w:rsid w:val="00892BF9"/>
    <w:rsid w:val="008A2083"/>
    <w:rsid w:val="008A47FC"/>
    <w:rsid w:val="008B7A59"/>
    <w:rsid w:val="008C03AB"/>
    <w:rsid w:val="008C764F"/>
    <w:rsid w:val="008E25A0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5187"/>
    <w:rsid w:val="00942B8F"/>
    <w:rsid w:val="0094630E"/>
    <w:rsid w:val="00947F87"/>
    <w:rsid w:val="009610AC"/>
    <w:rsid w:val="00963396"/>
    <w:rsid w:val="00971C73"/>
    <w:rsid w:val="00996FE2"/>
    <w:rsid w:val="009A0732"/>
    <w:rsid w:val="009A5D91"/>
    <w:rsid w:val="009A77EE"/>
    <w:rsid w:val="009B195C"/>
    <w:rsid w:val="009B2F61"/>
    <w:rsid w:val="009D2906"/>
    <w:rsid w:val="009E2493"/>
    <w:rsid w:val="009E3D06"/>
    <w:rsid w:val="009E7F09"/>
    <w:rsid w:val="009F2203"/>
    <w:rsid w:val="009F3885"/>
    <w:rsid w:val="009F47B0"/>
    <w:rsid w:val="009F7559"/>
    <w:rsid w:val="00A025F0"/>
    <w:rsid w:val="00A05247"/>
    <w:rsid w:val="00A10B3D"/>
    <w:rsid w:val="00A1162F"/>
    <w:rsid w:val="00A11D9B"/>
    <w:rsid w:val="00A22B69"/>
    <w:rsid w:val="00A2306C"/>
    <w:rsid w:val="00A4000F"/>
    <w:rsid w:val="00A6280D"/>
    <w:rsid w:val="00A73266"/>
    <w:rsid w:val="00A94CB8"/>
    <w:rsid w:val="00A9621B"/>
    <w:rsid w:val="00AA2DDF"/>
    <w:rsid w:val="00AB0452"/>
    <w:rsid w:val="00AC14D7"/>
    <w:rsid w:val="00AC73AB"/>
    <w:rsid w:val="00AD23D2"/>
    <w:rsid w:val="00AD637A"/>
    <w:rsid w:val="00AF2289"/>
    <w:rsid w:val="00B0420D"/>
    <w:rsid w:val="00B0549F"/>
    <w:rsid w:val="00B10BDF"/>
    <w:rsid w:val="00B2282D"/>
    <w:rsid w:val="00B30BCA"/>
    <w:rsid w:val="00B350E3"/>
    <w:rsid w:val="00B529C4"/>
    <w:rsid w:val="00B5712D"/>
    <w:rsid w:val="00B75448"/>
    <w:rsid w:val="00B757BA"/>
    <w:rsid w:val="00B80BCA"/>
    <w:rsid w:val="00B84669"/>
    <w:rsid w:val="00B93BC0"/>
    <w:rsid w:val="00B95B3D"/>
    <w:rsid w:val="00BA62FA"/>
    <w:rsid w:val="00BA7343"/>
    <w:rsid w:val="00BB028B"/>
    <w:rsid w:val="00BB0354"/>
    <w:rsid w:val="00BB40A7"/>
    <w:rsid w:val="00BB7ACB"/>
    <w:rsid w:val="00BC397C"/>
    <w:rsid w:val="00BC5CEA"/>
    <w:rsid w:val="00BC632F"/>
    <w:rsid w:val="00BD0441"/>
    <w:rsid w:val="00BD5BAD"/>
    <w:rsid w:val="00C03D74"/>
    <w:rsid w:val="00C073B2"/>
    <w:rsid w:val="00C17FA2"/>
    <w:rsid w:val="00C22572"/>
    <w:rsid w:val="00C24056"/>
    <w:rsid w:val="00C45BED"/>
    <w:rsid w:val="00C469E9"/>
    <w:rsid w:val="00C46CE7"/>
    <w:rsid w:val="00C5785A"/>
    <w:rsid w:val="00C75FB6"/>
    <w:rsid w:val="00C77313"/>
    <w:rsid w:val="00C81E1C"/>
    <w:rsid w:val="00C917CD"/>
    <w:rsid w:val="00CA3E3A"/>
    <w:rsid w:val="00CC1A7C"/>
    <w:rsid w:val="00CC1D85"/>
    <w:rsid w:val="00CD3F25"/>
    <w:rsid w:val="00CE1036"/>
    <w:rsid w:val="00CE52CD"/>
    <w:rsid w:val="00CE73B5"/>
    <w:rsid w:val="00CF58F1"/>
    <w:rsid w:val="00CF64EC"/>
    <w:rsid w:val="00D03C14"/>
    <w:rsid w:val="00D122C7"/>
    <w:rsid w:val="00D13C86"/>
    <w:rsid w:val="00D154E5"/>
    <w:rsid w:val="00D15A7C"/>
    <w:rsid w:val="00D322DC"/>
    <w:rsid w:val="00D35350"/>
    <w:rsid w:val="00D45834"/>
    <w:rsid w:val="00D51B1F"/>
    <w:rsid w:val="00D552D7"/>
    <w:rsid w:val="00D61540"/>
    <w:rsid w:val="00D61F97"/>
    <w:rsid w:val="00D63979"/>
    <w:rsid w:val="00D64489"/>
    <w:rsid w:val="00D73D3A"/>
    <w:rsid w:val="00D74F4C"/>
    <w:rsid w:val="00D90E93"/>
    <w:rsid w:val="00D97409"/>
    <w:rsid w:val="00DA5679"/>
    <w:rsid w:val="00DA7F98"/>
    <w:rsid w:val="00DC2E9C"/>
    <w:rsid w:val="00DC4AB4"/>
    <w:rsid w:val="00DD4316"/>
    <w:rsid w:val="00DD5380"/>
    <w:rsid w:val="00DE5557"/>
    <w:rsid w:val="00DE7E32"/>
    <w:rsid w:val="00DF6242"/>
    <w:rsid w:val="00DF652A"/>
    <w:rsid w:val="00E04700"/>
    <w:rsid w:val="00E06E10"/>
    <w:rsid w:val="00E10E26"/>
    <w:rsid w:val="00E1180A"/>
    <w:rsid w:val="00E16DC3"/>
    <w:rsid w:val="00E233E6"/>
    <w:rsid w:val="00E368F3"/>
    <w:rsid w:val="00E36F84"/>
    <w:rsid w:val="00E37075"/>
    <w:rsid w:val="00E54FDA"/>
    <w:rsid w:val="00E64409"/>
    <w:rsid w:val="00E719E9"/>
    <w:rsid w:val="00E777F0"/>
    <w:rsid w:val="00E87E10"/>
    <w:rsid w:val="00E93E29"/>
    <w:rsid w:val="00E979A5"/>
    <w:rsid w:val="00EA19F2"/>
    <w:rsid w:val="00EB7D57"/>
    <w:rsid w:val="00EC13A4"/>
    <w:rsid w:val="00EC262E"/>
    <w:rsid w:val="00EC41DC"/>
    <w:rsid w:val="00ED11AC"/>
    <w:rsid w:val="00EE39EA"/>
    <w:rsid w:val="00F110E1"/>
    <w:rsid w:val="00F13889"/>
    <w:rsid w:val="00F218BE"/>
    <w:rsid w:val="00F3317E"/>
    <w:rsid w:val="00F42854"/>
    <w:rsid w:val="00F47793"/>
    <w:rsid w:val="00F80302"/>
    <w:rsid w:val="00FA6A40"/>
    <w:rsid w:val="00FA72CA"/>
    <w:rsid w:val="00FB5730"/>
    <w:rsid w:val="00FD3227"/>
    <w:rsid w:val="00FD4750"/>
    <w:rsid w:val="00FE12F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link w:val="12"/>
    <w:locked/>
    <w:rsid w:val="00665950"/>
    <w:rPr>
      <w:lang w:val="en-US"/>
    </w:rPr>
  </w:style>
  <w:style w:type="paragraph" w:customStyle="1" w:styleId="12">
    <w:name w:val="Без интервала1"/>
    <w:basedOn w:val="a"/>
    <w:link w:val="NoSpacingChar"/>
    <w:rsid w:val="0066595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5">
    <w:name w:val="No Spacing"/>
    <w:uiPriority w:val="1"/>
    <w:qFormat/>
    <w:rsid w:val="00CD3F2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unhideWhenUsed/>
    <w:rsid w:val="00CD3F25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CD3F2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link w:val="12"/>
    <w:locked/>
    <w:rsid w:val="00665950"/>
    <w:rPr>
      <w:lang w:val="en-US"/>
    </w:rPr>
  </w:style>
  <w:style w:type="paragraph" w:customStyle="1" w:styleId="12">
    <w:name w:val="Без интервала1"/>
    <w:basedOn w:val="a"/>
    <w:link w:val="NoSpacingChar"/>
    <w:rsid w:val="0066595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5">
    <w:name w:val="No Spacing"/>
    <w:uiPriority w:val="1"/>
    <w:qFormat/>
    <w:rsid w:val="00CD3F2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unhideWhenUsed/>
    <w:rsid w:val="00CD3F25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CD3F2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86E15-0E34-4FEC-92DB-E1C78087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Москалева Екатерина Владимировна</cp:lastModifiedBy>
  <cp:revision>10</cp:revision>
  <cp:lastPrinted>2015-03-25T06:18:00Z</cp:lastPrinted>
  <dcterms:created xsi:type="dcterms:W3CDTF">2015-03-24T07:05:00Z</dcterms:created>
  <dcterms:modified xsi:type="dcterms:W3CDTF">2015-03-25T06:18:00Z</dcterms:modified>
</cp:coreProperties>
</file>